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2857"/>
        <w:gridCol w:w="1340"/>
        <w:gridCol w:w="1783"/>
        <w:gridCol w:w="600"/>
        <w:gridCol w:w="349"/>
        <w:gridCol w:w="334"/>
        <w:gridCol w:w="674"/>
        <w:gridCol w:w="3709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Pr="00544818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4481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  <w:t xml:space="preserve">OBAVEZA PREDUGOVORNOG </w:t>
            </w:r>
            <w:r w:rsidR="00544818" w:rsidRPr="00544818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</w:rPr>
              <w:t>INFORMISANJA KORISNIKA USLUGA OSIGURANJA</w:t>
            </w:r>
            <w:r w:rsidR="00544818" w:rsidRPr="00544818">
              <w:rPr>
                <w:rFonts w:asciiTheme="minorHAnsi" w:hAnsiTheme="minorHAnsi" w:cstheme="minorHAnsi"/>
                <w:b/>
                <w:color w:val="C00000"/>
              </w:rPr>
              <w:t xml:space="preserve"> </w:t>
            </w:r>
            <w:r w:rsidR="00544818" w:rsidRPr="00544818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značaj, rizici i praksa</w:t>
            </w:r>
            <w:r w:rsidR="00544818" w:rsidRPr="00544818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 xml:space="preserve"> </w:t>
            </w:r>
            <w:r w:rsidR="00CD6815" w:rsidRPr="00544818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4481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03.mart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C546A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067F4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544818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dva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44818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1706A9" w:rsidRPr="008067F4" w:rsidRDefault="008067F4" w:rsidP="008067F4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 xml:space="preserve">                </w:t>
            </w:r>
            <w:r w:rsidR="00CD6815" w:rsidRPr="008067F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4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Sadržina obaveze predugovornog informisanja 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80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Za društvo za osiguranje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(za </w:t>
            </w: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zastupanje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za </w:t>
            </w: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posredovanje u osiguranju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2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Način ispunjenja obaveze predugovornog informisanja od strane društva za zastupanje/posredovanje u osiguranju 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Principi predugovornog informisanja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Idealni model vs. trenutna praksa 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2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Kada se smatra da obaveza predugovornog informisanja nije ispunjenja 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Razni vidovi neispunjenja i delimičnog neispunjenja (neadekvatnog ispunjenja) obaveze predugovornog informisanja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2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Posledice neispunjenja obaveze predugovornog informisanja 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Posledice koje pogađaju društvo za osiguranje i njihov uticaj na zastupnike/posrednike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Posledice koje pogađaju zastupnike/posrednike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2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Praksa na tržištu osiguranja i preporuke za smanjenje rizika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Mesto predugovornog informisanja u procesu zaklјučenja ugovora u praksi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Predugovorno informisanje prilikom zaklјučenja ugovora o osiguranju elektronskim putem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Stavovi Narodne banke Srbije u vezi sa obavezom predugovornog informisanja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Iskustva društava za osiguranje, posrednika i zastupnika u osiguranju u vezi sa kontrolom Narodne banke Srbije i ispunjenjem obaveze predugovornog informisanja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Analiza predugovornih obaveštenja koja se koriste u praksi na tržištu osiguranja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Pozivanje korisnika usluge osiguranja na neispunjenje obaveze predugovornog informisanja u praksi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5"/>
              </w:numPr>
              <w:ind w:left="142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Budućnost predugovornog informisanja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Očekivani zakonodavni okvir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Značaj koji obavezi predugovornog informisanja daje regulatorni organ – Narodna banka Srbije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>Podizanje svesti o pravima u vezi sa predugovornim informisanjem kod korisnika usluge osiguranja</w:t>
            </w:r>
          </w:p>
          <w:p w:rsidR="00544818" w:rsidRPr="00544818" w:rsidRDefault="00544818" w:rsidP="00544818">
            <w:pPr>
              <w:pStyle w:val="ListParagraph"/>
              <w:numPr>
                <w:ilvl w:val="0"/>
                <w:numId w:val="36"/>
              </w:numPr>
              <w:ind w:left="1788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4818">
              <w:rPr>
                <w:rFonts w:asciiTheme="minorHAnsi" w:hAnsiTheme="minorHAnsi" w:cstheme="minorHAnsi"/>
                <w:sz w:val="22"/>
                <w:szCs w:val="22"/>
              </w:rPr>
              <w:t xml:space="preserve">Sudski sporovi </w:t>
            </w:r>
          </w:p>
          <w:p w:rsidR="00544818" w:rsidRPr="00544818" w:rsidRDefault="00544818" w:rsidP="0054481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A2353" w:rsidRPr="001706A9" w:rsidRDefault="0046093F" w:rsidP="00544818">
            <w:pPr>
              <w:pStyle w:val="PlainText"/>
            </w:pPr>
            <w:r w:rsidRPr="001706A9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54481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54481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44818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92A" w:rsidRDefault="00BD692A">
      <w:r>
        <w:separator/>
      </w:r>
    </w:p>
  </w:endnote>
  <w:endnote w:type="continuationSeparator" w:id="0">
    <w:p w:rsidR="00BD692A" w:rsidRDefault="00BD6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92A" w:rsidRDefault="00BD692A">
      <w:r>
        <w:separator/>
      </w:r>
    </w:p>
  </w:footnote>
  <w:footnote w:type="continuationSeparator" w:id="0">
    <w:p w:rsidR="00BD692A" w:rsidRDefault="00BD69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2D6F50"/>
    <w:multiLevelType w:val="hybridMultilevel"/>
    <w:tmpl w:val="B5A4E2AC"/>
    <w:lvl w:ilvl="0" w:tplc="23280B9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F53388C"/>
    <w:multiLevelType w:val="hybridMultilevel"/>
    <w:tmpl w:val="DC58C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6"/>
  </w:num>
  <w:num w:numId="4">
    <w:abstractNumId w:val="17"/>
  </w:num>
  <w:num w:numId="5">
    <w:abstractNumId w:val="24"/>
  </w:num>
  <w:num w:numId="6">
    <w:abstractNumId w:val="18"/>
  </w:num>
  <w:num w:numId="7">
    <w:abstractNumId w:val="7"/>
  </w:num>
  <w:num w:numId="8">
    <w:abstractNumId w:val="3"/>
  </w:num>
  <w:num w:numId="9">
    <w:abstractNumId w:val="4"/>
  </w:num>
  <w:num w:numId="10">
    <w:abstractNumId w:val="34"/>
  </w:num>
  <w:num w:numId="11">
    <w:abstractNumId w:val="27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20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5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2"/>
  </w:num>
  <w:num w:numId="27">
    <w:abstractNumId w:val="30"/>
  </w:num>
  <w:num w:numId="28">
    <w:abstractNumId w:val="23"/>
  </w:num>
  <w:num w:numId="29">
    <w:abstractNumId w:val="26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1"/>
  </w:num>
  <w:num w:numId="35">
    <w:abstractNumId w:val="16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07E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17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4818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49FC"/>
    <w:rsid w:val="00805B52"/>
    <w:rsid w:val="00805BE3"/>
    <w:rsid w:val="00805DC7"/>
    <w:rsid w:val="008067F4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1359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318E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92A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CFEDD-2F54-47AC-BA30-9BE94E20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2018-01-19T14:02:00Z</cp:lastPrinted>
  <dcterms:created xsi:type="dcterms:W3CDTF">2018-01-22T09:10:00Z</dcterms:created>
  <dcterms:modified xsi:type="dcterms:W3CDTF">2018-01-22T09:10:00Z</dcterms:modified>
</cp:coreProperties>
</file>